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ind w:left="0" w:right="0" w:firstLine="2100" w:firstLineChars="7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firstLine="2100" w:firstLineChars="7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firstLine="2100" w:firstLineChars="7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firstLine="2100" w:firstLineChars="7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firstLine="2100" w:firstLineChars="7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jc w:val="center"/>
        <w:textAlignment w:val="auto"/>
        <w:rPr>
          <w:rFonts w:hint="default" w:ascii="Times New Roman" w:hAnsi="Times New Roman" w:cs="Times New Roman"/>
          <w:sz w:val="32"/>
          <w:szCs w:val="32"/>
        </w:rPr>
      </w:pPr>
      <w:r>
        <w:rPr>
          <w:rFonts w:hint="default" w:ascii="Times New Roman" w:hAnsi="Times New Roman" w:cs="Times New Roman"/>
          <w:sz w:val="32"/>
        </w:rPr>
        <w:t>苏财会院〔</w:t>
      </w:r>
      <w:r>
        <w:rPr>
          <w:rFonts w:hint="default" w:ascii="Times New Roman" w:hAnsi="Times New Roman" w:cs="Times New Roman"/>
          <w:sz w:val="32"/>
        </w:rPr>
        <w:t>2021</w:t>
      </w:r>
      <w:r>
        <w:rPr>
          <w:rFonts w:hint="default" w:ascii="Times New Roman" w:hAnsi="Times New Roman" w:cs="Times New Roman"/>
          <w:sz w:val="32"/>
        </w:rPr>
        <w:t>〕</w:t>
      </w:r>
      <w:r>
        <w:rPr>
          <w:rFonts w:hint="default" w:ascii="Times New Roman" w:hAnsi="Times New Roman" w:cs="Times New Roman"/>
          <w:sz w:val="32"/>
          <w:lang w:val="en-US" w:eastAsia="zh-CN"/>
        </w:rPr>
        <w:t>117</w:t>
      </w:r>
      <w:r>
        <w:rPr>
          <w:rFonts w:hint="default" w:ascii="Times New Roman" w:hAnsi="Times New Roman" w:cs="Times New Roman"/>
          <w:sz w:val="32"/>
        </w:rPr>
        <w:t>号</w:t>
      </w:r>
    </w:p>
    <w:p>
      <w:pPr>
        <w:keepNext w:val="0"/>
        <w:keepLines w:val="0"/>
        <w:pageBreakBefore w:val="0"/>
        <w:kinsoku/>
        <w:wordWrap/>
        <w:overflowPunct/>
        <w:topLinePunct w:val="0"/>
        <w:autoSpaceDE/>
        <w:autoSpaceDN/>
        <w:bidi w:val="0"/>
        <w:adjustRightInd/>
        <w:spacing w:line="576" w:lineRule="exact"/>
        <w:ind w:left="0" w:right="0"/>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firstLine="395" w:firstLineChars="98"/>
        <w:jc w:val="center"/>
        <w:textAlignment w:val="auto"/>
        <w:rPr>
          <w:rFonts w:hint="default" w:ascii="Times New Roman" w:hAnsi="Times New Roman" w:eastAsia="方正小标宋简体" w:cs="Times New Roman"/>
          <w:spacing w:val="-18"/>
          <w:w w:val="100"/>
          <w:sz w:val="44"/>
          <w:szCs w:val="44"/>
        </w:rPr>
      </w:pPr>
      <w:r>
        <w:rPr>
          <w:rFonts w:hint="default" w:ascii="Times New Roman" w:hAnsi="Times New Roman" w:eastAsia="方正小标宋简体" w:cs="Times New Roman"/>
          <w:spacing w:val="-18"/>
          <w:w w:val="100"/>
          <w:sz w:val="44"/>
          <w:szCs w:val="44"/>
        </w:rPr>
        <w:t>关于印发《江苏财会职业学院“十四五”事业发展规划目标任务分解落实方案》的通知</w:t>
      </w:r>
    </w:p>
    <w:p>
      <w:pPr>
        <w:keepNext w:val="0"/>
        <w:keepLines w:val="0"/>
        <w:pageBreakBefore w:val="0"/>
        <w:kinsoku/>
        <w:wordWrap/>
        <w:overflowPunct/>
        <w:topLinePunct w:val="0"/>
        <w:autoSpaceDE/>
        <w:autoSpaceDN/>
        <w:bidi w:val="0"/>
        <w:adjustRightInd/>
        <w:spacing w:line="576" w:lineRule="exact"/>
        <w:ind w:left="0" w:right="0"/>
        <w:jc w:val="lef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sz w:val="32"/>
          <w:szCs w:val="32"/>
        </w:rPr>
      </w:pPr>
      <w:r>
        <w:rPr>
          <w:rFonts w:hint="default" w:ascii="Times New Roman" w:hAnsi="Times New Roman" w:cs="Times New Roman"/>
          <w:sz w:val="32"/>
          <w:szCs w:val="32"/>
        </w:rPr>
        <w:t>各单位、各部门：</w:t>
      </w:r>
    </w:p>
    <w:p>
      <w:pPr>
        <w:keepNext w:val="0"/>
        <w:keepLines w:val="0"/>
        <w:pageBreakBefore w:val="0"/>
        <w:kinsoku/>
        <w:wordWrap/>
        <w:overflowPunct/>
        <w:topLinePunct w:val="0"/>
        <w:autoSpaceDE/>
        <w:autoSpaceDN/>
        <w:bidi w:val="0"/>
        <w:adjustRightInd/>
        <w:spacing w:line="576"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为实现《江苏财会职业学院“十四五”事业发展规划》提出的目标任务，决定对目标任务进行分解，由责任部门负责落实。现将学校“十四五”事业发展规划目标任务分解落实方案印发给你们，请各牵头部门和单位按照目标任务要求，进一步细化工作举措、强化保障措施、加强督促检查，配合部门和单位积极主动作为、形成工作合力，确保各项工作落实到位、目标任务顺利完成。学校将对目标任务的推进过程和落实结果进行督查和考核，督查考核结果作为部门考核的重要依据。</w:t>
      </w:r>
    </w:p>
    <w:p>
      <w:pPr>
        <w:keepNext w:val="0"/>
        <w:keepLines w:val="0"/>
        <w:pageBreakBefore w:val="0"/>
        <w:kinsoku/>
        <w:wordWrap/>
        <w:overflowPunct/>
        <w:topLinePunct w:val="0"/>
        <w:autoSpaceDE/>
        <w:autoSpaceDN/>
        <w:bidi w:val="0"/>
        <w:adjustRightInd/>
        <w:spacing w:line="576" w:lineRule="exact"/>
        <w:ind w:right="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附件</w:t>
      </w:r>
      <w:r>
        <w:rPr>
          <w:rFonts w:hint="default" w:ascii="Times New Roman" w:hAnsi="Times New Roman" w:cs="Times New Roman"/>
          <w:sz w:val="32"/>
          <w:szCs w:val="32"/>
          <w:lang w:eastAsia="zh-CN"/>
        </w:rPr>
        <w:t>：</w:t>
      </w:r>
      <w:r>
        <w:rPr>
          <w:rFonts w:hint="default" w:ascii="Times New Roman" w:hAnsi="Times New Roman" w:cs="Times New Roman"/>
          <w:sz w:val="32"/>
          <w:szCs w:val="32"/>
        </w:rPr>
        <w:t>江苏财会职业学院“十四五”事业发展规划目标任</w:t>
      </w:r>
      <w:r>
        <w:rPr>
          <w:rFonts w:hint="default" w:ascii="Times New Roman" w:hAnsi="Times New Roman"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pacing w:line="576" w:lineRule="exact"/>
        <w:ind w:right="0" w:firstLine="1600" w:firstLineChars="500"/>
        <w:textAlignment w:val="auto"/>
        <w:rPr>
          <w:rFonts w:hint="default" w:ascii="Times New Roman" w:hAnsi="Times New Roman" w:cs="Times New Roman"/>
          <w:sz w:val="32"/>
          <w:szCs w:val="32"/>
        </w:rPr>
      </w:pPr>
      <w:r>
        <w:rPr>
          <w:rFonts w:hint="default" w:ascii="Times New Roman" w:hAnsi="Times New Roman" w:cs="Times New Roman"/>
          <w:sz w:val="32"/>
          <w:szCs w:val="32"/>
        </w:rPr>
        <w:t>务分解表</w:t>
      </w:r>
    </w:p>
    <w:p>
      <w:pPr>
        <w:keepNext w:val="0"/>
        <w:keepLines w:val="0"/>
        <w:pageBreakBefore w:val="0"/>
        <w:kinsoku/>
        <w:wordWrap/>
        <w:overflowPunct/>
        <w:topLinePunct w:val="0"/>
        <w:autoSpaceDE/>
        <w:autoSpaceDN/>
        <w:bidi w:val="0"/>
        <w:adjustRightInd/>
        <w:spacing w:line="576" w:lineRule="exact"/>
        <w:ind w:left="0" w:right="0"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left="0" w:right="0"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76" w:lineRule="exact"/>
        <w:ind w:right="0" w:firstLine="4800" w:firstLineChars="1500"/>
        <w:textAlignment w:val="auto"/>
        <w:rPr>
          <w:rFonts w:hint="default" w:ascii="Times New Roman" w:hAnsi="Times New Roman" w:cs="Times New Roman"/>
          <w:sz w:val="32"/>
          <w:szCs w:val="32"/>
        </w:rPr>
      </w:pPr>
      <w:r>
        <w:rPr>
          <w:rFonts w:hint="default" w:ascii="Times New Roman" w:hAnsi="Times New Roman" w:cs="Times New Roman"/>
          <w:sz w:val="32"/>
          <w:szCs w:val="32"/>
        </w:rPr>
        <w:t>江苏财会职业学院</w:t>
      </w:r>
    </w:p>
    <w:p>
      <w:pPr>
        <w:keepNext w:val="0"/>
        <w:keepLines w:val="0"/>
        <w:pageBreakBefore w:val="0"/>
        <w:kinsoku/>
        <w:wordWrap/>
        <w:overflowPunct/>
        <w:topLinePunct w:val="0"/>
        <w:autoSpaceDE/>
        <w:autoSpaceDN/>
        <w:bidi w:val="0"/>
        <w:adjustRightInd/>
        <w:spacing w:line="576" w:lineRule="exact"/>
        <w:ind w:right="0" w:firstLine="4800" w:firstLineChars="1500"/>
        <w:textAlignment w:val="auto"/>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rPr>
        <w:t>21</w:t>
      </w:r>
      <w:r>
        <w:rPr>
          <w:rFonts w:hint="default" w:ascii="Times New Roman" w:hAnsi="Times New Roman" w:cs="Times New Roman"/>
          <w:sz w:val="32"/>
          <w:szCs w:val="32"/>
        </w:rPr>
        <w:t>年</w:t>
      </w:r>
      <w:r>
        <w:rPr>
          <w:rFonts w:hint="default" w:ascii="Times New Roman" w:hAnsi="Times New Roman" w:cs="Times New Roman"/>
          <w:sz w:val="32"/>
          <w:szCs w:val="32"/>
        </w:rPr>
        <w:t>11</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12</w:t>
      </w:r>
      <w:r>
        <w:rPr>
          <w:rFonts w:hint="default" w:ascii="Times New Roman" w:hAnsi="Times New Roman" w:cs="Times New Roman"/>
          <w:sz w:val="32"/>
          <w:szCs w:val="32"/>
        </w:rPr>
        <w:t>日</w:t>
      </w:r>
    </w:p>
    <w:p>
      <w:pPr>
        <w:keepNext w:val="0"/>
        <w:keepLines w:val="0"/>
        <w:pageBreakBefore w:val="0"/>
        <w:kinsoku/>
        <w:wordWrap/>
        <w:overflowPunct/>
        <w:topLinePunct w:val="0"/>
        <w:autoSpaceDE/>
        <w:autoSpaceDN/>
        <w:bidi w:val="0"/>
        <w:adjustRightInd/>
        <w:snapToGrid w:val="0"/>
        <w:spacing w:line="576" w:lineRule="exact"/>
        <w:ind w:left="0" w:right="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76" w:lineRule="exact"/>
        <w:ind w:left="0" w:right="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76" w:lineRule="exact"/>
        <w:ind w:left="0" w:right="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autoSpaceDN/>
        <w:bidi w:val="0"/>
        <w:adjustRightInd/>
        <w:spacing w:line="576" w:lineRule="exact"/>
        <w:ind w:left="0" w:right="0" w:firstLine="5376" w:firstLineChars="1680"/>
        <w:textAlignment w:val="auto"/>
        <w:rPr>
          <w:rFonts w:hint="default" w:ascii="Times New Roman" w:hAnsi="Times New Roman" w:eastAsia="方正仿宋简体" w:cs="Times New Roman"/>
          <w:color w:val="000000"/>
          <w:sz w:val="32"/>
          <w:szCs w:val="32"/>
        </w:rPr>
      </w:pPr>
    </w:p>
    <w:p>
      <w:pPr>
        <w:keepNext w:val="0"/>
        <w:keepLines w:val="0"/>
        <w:pageBreakBefore w:val="0"/>
        <w:widowControl/>
        <w:kinsoku/>
        <w:wordWrap/>
        <w:overflowPunct/>
        <w:topLinePunct w:val="0"/>
        <w:autoSpaceDE/>
        <w:autoSpaceDN/>
        <w:bidi w:val="0"/>
        <w:adjustRightInd/>
        <w:spacing w:line="576" w:lineRule="exact"/>
        <w:ind w:left="0" w:right="0"/>
        <w:textAlignment w:val="auto"/>
        <w:rPr>
          <w:rFonts w:hint="default" w:ascii="Times New Roman" w:hAnsi="Times New Roman" w:cs="Times New Roman"/>
          <w:color w:val="000000"/>
          <w:sz w:val="32"/>
          <w:szCs w:val="32"/>
        </w:rPr>
        <w:sectPr>
          <w:footerReference r:id="rId3" w:type="default"/>
          <w:pgSz w:w="11906" w:h="16838"/>
          <w:pgMar w:top="2098" w:right="1474" w:bottom="1984" w:left="1587" w:header="851" w:footer="992" w:gutter="0"/>
          <w:pgNumType w:fmt="numberInDash"/>
          <w:cols w:space="425" w:num="1"/>
          <w:docGrid w:type="linesAndChars" w:linePitch="408" w:charSpace="0"/>
        </w:sectPr>
      </w:pPr>
    </w:p>
    <w:p>
      <w:pPr>
        <w:keepNext w:val="0"/>
        <w:keepLines w:val="0"/>
        <w:pageBreakBefore w:val="0"/>
        <w:widowControl/>
        <w:kinsoku/>
        <w:wordWrap/>
        <w:overflowPunct/>
        <w:topLinePunct w:val="0"/>
        <w:autoSpaceDE/>
        <w:autoSpaceDN/>
        <w:bidi w:val="0"/>
        <w:adjustRightInd/>
        <w:spacing w:line="576" w:lineRule="exact"/>
        <w:ind w:left="0" w:right="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附件</w:t>
      </w:r>
    </w:p>
    <w:p>
      <w:pPr>
        <w:keepNext w:val="0"/>
        <w:keepLines w:val="0"/>
        <w:pageBreakBefore w:val="0"/>
        <w:kinsoku/>
        <w:wordWrap/>
        <w:overflowPunct/>
        <w:topLinePunct w:val="0"/>
        <w:autoSpaceDE/>
        <w:autoSpaceDN/>
        <w:bidi w:val="0"/>
        <w:adjustRightInd/>
        <w:spacing w:line="576" w:lineRule="exact"/>
        <w:ind w:left="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江苏财会职业学院“十四五”事业发展规划目标任务分解表</w:t>
      </w:r>
    </w:p>
    <w:tbl>
      <w:tblPr>
        <w:tblStyle w:val="5"/>
        <w:tblW w:w="13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417"/>
        <w:gridCol w:w="8647"/>
        <w:gridCol w:w="1276"/>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blHeader/>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目标名称</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工作标准</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牵头部门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主要目标</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全日制</w:t>
            </w:r>
            <w:r>
              <w:rPr>
                <w:rFonts w:hint="default" w:ascii="Times New Roman" w:hAnsi="Times New Roman" w:cs="Times New Roman" w:eastAsiaTheme="minorEastAsia"/>
                <w:color w:val="000000"/>
                <w:sz w:val="21"/>
                <w:szCs w:val="21"/>
              </w:rPr>
              <w:t>在校生人数达到8</w:t>
            </w:r>
            <w:r>
              <w:rPr>
                <w:rFonts w:hint="default" w:ascii="Times New Roman" w:hAnsi="Times New Roman" w:cs="Times New Roman" w:eastAsiaTheme="minorEastAsia"/>
                <w:color w:val="000000"/>
                <w:sz w:val="21"/>
                <w:szCs w:val="21"/>
              </w:rPr>
              <w:t>000人左右。</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成人学历教育规模在2000人左右，成人非学历教育规模不低于20000人次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继续教育处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招生专业数增加到25个左右。建设2-3个在省内，1-2个在国内有一定影响的优势专业，形成5个左右专业群，创建省级高水平专业群2个。力争建成1-2门国家级精品在线开放课程，20门省级精品在线开放课程，70门校级精品在线开放课程。建成3-5门国家职业教育规划教材，5门省级重点教材，20门具有学校特色的校本教材。省级以上专业教学资源库1-2个，获得2个省级教学改革成果奖，其中一等奖1个。教师在（国赛）省级一类教学比赛（教学能力比赛、微课比赛）中获一等奖10项。</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学校人员总量达550人，专任教师总数达到450人，占全校教职工人数的比例达到85%左右，校外兼职教师比例达到专任教师25%左右。专任教师中博士学位教师力争达到20人，硕士学位及以上学位教师占比85%以上，教授力争达到30人，具有高级专业技术职务的教师占比不低于30%，专任专业课教师中“双师型”教师比例不低于85%。实现国（境）外留学研修经历占比20%以上。新增省级双创人才、“333”工程、青蓝工程培养对象10名左右；选聘省级产业教授10名；培育省部级优秀教学团队1-2个；建设省级“双师型”教师培养培训基地1个。</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科院校合作“3+2”“4+0”等贯通培养项目不少于3个，中高职“3+3”贯通培养项目达到20个。提升思想政治理论课和课程思政协调育人功能，打造省级课程思政示范课不少于1门、课程思政建设示范基地不少于1个，形成具有职业教育特点的课程思政教育案例不少于1个。</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主要目标</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三全育人”综合改革，构建学校教师、企业师傅、学生家长等全员参与，从入学到毕业全过程实施，学校、企业、家庭、社区等全方位密切配合的育人工作体系。创建省级名班主任工作室（辅导员工作室）不少于1个。加强创新创业教育，建成1-2个省级人才培养模式创新基地（创业、创新示范中心），毕业生创业率达到0.5%以上，就业率保持在97%以上，创业大赛获得5项奖项，其中一等奖1项，二等奖4项。加强体育、劳育和美育教学，将体育、劳育、美育贯穿人才培养全过程，形成具有学校特色的“五育并举”育人体系。</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学工处、教务处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省技能大赛再获奖20项，其中一等奖5项。积极参加职业技能证书考试，鼓励参加1+X证书报考，双证书获取率达到90%。</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每个专业至少拥有深度校企合作企业10家，全校校企合作企业达到800家，紧密型校外实习基地达120个，现代学徒制项目5个，建成产业学院4-5家。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二级管理体制基本落实到位。进一步改革内部机构设置，按照“理顺关系、优化结构、责权清晰、归口管理”的原则，完善党群部门、行政部门、教辅部门等机构设置，组建二级学院至少9个。完善岗位聘任制度，优化薪酬分配制度，进一步实现职工由身份管理向岗位管理转变。</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创建省级科研、技术服务平台1个，培养省内有影响的学术骨干2-3名，力争建设省级科研团队1个。每年省级及以上立项课题25项以上，力争每年有1项省级以上重点课题获准立项。每年在核心期刊或以上级别刊物发表论文不少于10篇，每年新增知识产权15项以上，专利转化运用1个，金额10万元。争取省部级科研成果获奖1项，市厅级科研成果获奖3项以上。平均每年横向课题资金到账金额增加20%以上。</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科研处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exac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主要目标</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lang w:val="en"/>
              </w:rPr>
            </w:pPr>
            <w:r>
              <w:rPr>
                <w:rFonts w:hint="default" w:ascii="Times New Roman" w:hAnsi="Times New Roman" w:cs="Times New Roman" w:eastAsiaTheme="minorEastAsia"/>
                <w:color w:val="000000"/>
                <w:sz w:val="21"/>
                <w:szCs w:val="21"/>
                <w:lang w:val="en"/>
              </w:rPr>
              <w:t>积极开发培训项目，实现省市级行业部门委托的培训项目6个，争取国家行业部门委托培训项目新的突破。争取完成各类培训7万人次，力争继续教育和社会培训年收入300万元。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继续教育处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在全校形成师生员工高度认同的办学理念、办学特色、财院精神；形成一批有影响、有学校特色的文化品牌；建设一批文化小品，营造环境优美、设施完善、功能齐全、特色突出的校园环境；建设江苏会计史文博馆、金融博物馆等专业展示馆；建成校园书店，打造“图书+咖啡+文创+茶歇”的综合文化书房；力争建成全国文明校园。</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lang w:val="en"/>
              </w:rPr>
            </w:pPr>
            <w:r>
              <w:rPr>
                <w:rFonts w:hint="default" w:ascii="Times New Roman" w:hAnsi="Times New Roman" w:cs="Times New Roman" w:eastAsiaTheme="minorEastAsia"/>
                <w:color w:val="000000"/>
                <w:sz w:val="21"/>
                <w:szCs w:val="21"/>
                <w:lang w:val="en"/>
              </w:rPr>
              <w:t>不断拓展涉外项目，力争每年出国留学访学学生数不少于20人。响应“一带一路”倡议，积极参与江苏高职院校“一带一路”培养合作联盟，为“走出去”企业提供服务。拓展教师国外研修培训项目，力争每年遴选5人以上赴国外研修。服务“留学江苏”行动计划，积极开展对外汉语教学和来华留学生教育，力争“十四五”期间来校研修的长短期留学生达到150人次以上。</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国际交流与合作部、组织人事处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lang w:val="en"/>
              </w:rPr>
            </w:pPr>
            <w:r>
              <w:rPr>
                <w:rFonts w:hint="default" w:ascii="Times New Roman" w:hAnsi="Times New Roman" w:cs="Times New Roman" w:eastAsiaTheme="minorEastAsia"/>
                <w:color w:val="000000"/>
                <w:sz w:val="21"/>
                <w:szCs w:val="21"/>
                <w:lang w:val="en"/>
              </w:rPr>
              <w:t>新增校舍总面积约6万平方米，其中一期工程遗留的6号学生公寓楼1栋，约9200平方米，二期学生公寓楼2栋。</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exac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lang w:val="en"/>
              </w:rPr>
            </w:pPr>
            <w:r>
              <w:rPr>
                <w:rFonts w:hint="default" w:ascii="Times New Roman" w:hAnsi="Times New Roman" w:cs="Times New Roman" w:eastAsiaTheme="minorEastAsia"/>
                <w:color w:val="000000"/>
                <w:sz w:val="21"/>
                <w:szCs w:val="21"/>
                <w:lang w:val="en"/>
              </w:rPr>
              <w:t>校内实训场所达到60个（间），其中生产性实训基地5个，建成1个中央财政支持的实训基地、2个省级财政支持的实训基地（或平台、中心）。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建设一批具有融合教学网络化、学习个性化、评价自动化、管理智能化等功能为一体的智慧教室，推动传统课堂向智慧课堂的转变。</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智慧校园中心</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持续突出抓好政治建设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坚持把党的政治建设摆在首位，牢固树立“四个意识”，坚定“四个自信”，坚决做到“两个维护”。严格遵守政治纪律和政治规矩，确保党的基本理论、基本路线、基本方略在学校不折不扣地贯彻落实。严格执行《关于新形势下党内政治生活的若干准则》，进一步增强党内政治生活的政治性、时代性、原则性、战斗性，营造风清气正的良好政治生态。完善和落实民主集中制和党委领导下的校长负责制，严格执行“三重一大”决策制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持续强化意识形态建设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严格落实意识形态工作责任制，巩固马克思主义在学校意识形态领域的指导地位，强化意识形态工作的执纪问责。牢牢掌握意识形态工作领导权和话语权，做好正面引导，唱响爱党、爱国、爱社会主义的主旋律。高度重视传播手段建设，创新工作方法，提高新闻舆论传播力、引导力、影响力、公信力，提升宣传思想工作的水平和质量。</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持续推动基层组织建设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并落实二级单位党建工作责任制，严格执行“三会一课”，着力推进党组织活动方式创新，不断加强党员教育工作。坚持把政治标准放在首位，抓好党的纯洁性建设，把好发展党员入口关。发挥好学校党校功能，引导广大党员在教书育人、学术创新、成长成才等方面当标兵、做表率。</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各二级党组织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深入推进《全面从严治党责任清单》的贯彻落实，把从严治党要求向基层压实。</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纪委办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持续加强干部队伍建设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坚持新时代党的组织路线，坚持正确用人导向，把好干部标准落到实处，加大年轻干部的培养使用，不断优化干部队伍结构。完善干部教育培养体系，加大干部教育培训力度，不断提升广大干部的综合素养和履职能力。落实鼓励激励、容错纠错、能上能下“三项机制”，进一步激励广大干部在新时代有新担当新作为。</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持续推进党风廉政建设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严格执行党风廉政建设责任制，压紧压实从严治党主体责任和监督责任。坚持把纪律和规矩挺在前面，有效运用监督执纪“四种形态”，常态化综合运用好第一种形态。加大执纪问责力度。深入贯彻落实中央八项规定精神，把作风要求贯穿到领导干部教育培养、选拔任用、考核评价、监督管理全过程。制度化常态化推进校内巡察，切实保障和推进学校高质量内涵式发展。</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纪委办</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办公室、组织人事处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强化机关作风建设，切实提升办事效能和服务质量。</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纪委办、组织人事处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持续加强统战群团工作</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充分发挥教（工）代会、学代会的民主管理、民主监督作用。积极畅通沟通渠道，加快民主和谐校园建设步伐。</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工会、团委</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和改进新形势下党的群团工作，切实保持并增强工会、共青团的政治性、先进性、群众性。建立大统战工作格局，支持各级人大代表、政协委员、民主党派和无党派人士为学校发展积极建言献策，发挥好民主监督作用。</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组织人事处、工会、团委</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完善内部</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治理体系</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坚持依法治校，进一步优化和完善“党委领导、校长负责、教授治学、民主管理”的现代大学治理结构，依据学校章程进一步加强制度建设，使学校内部管理和运行更加规范化、科学化，充分调动办学的积极性、主动性。</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完善学术委员会工作制度，发挥其在专业发展、教师发展、科研评价、质量评估、专业技术职务评聘、学术纠纷处理、学术失范行为审查等方面的作用。</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科研处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健全各级民主决策机制和民主监督机制，发挥教代会、工代会、团代会、学代会等在学校改革与发展中的作用。</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工会、团委</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加大协调统筹与资源</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保障力度</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积极争取财政支持，逐步提高生均拨款，争取专项资金，统筹非税收入，实现经费可持续增长。</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财务处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加强与地方政府沟通，争取拓展办学发展空间，强化学校发展顶层设计，加大改革发展力度。</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推行二级</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管理体制</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探索适应现代大学制度、财权与事权相结合、激发二级学院办学积极性和创造性的校院两级管理体制，促进校、院共同开展人才培养和研究，增强校院一体化发展的合力。扩大二级学院办学自主权。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完善二级学院党政联席会议制度，推动权力下沉，优化二级学院决策、管理机制。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推进人事</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制度改革</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深入落实《江苏省高等学校人员总量内设机构领导职数管理办法》和《关于加强新时代高校教师队伍建设改革的指导意见》，推进加强学校人事机制体制改革。坚持问题导向，把内涵发展、特色建设、机制创新作为推动综合改革的战略抓手，多措并举、全面推进总量管理、人事考核、聘期考核、职称评审、人才评价、绩效分配等机制体制改革工作，制定形成一套科学合理、系统完善、易于操作的人才管理制度体系。</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9"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调整优化专业布局，构建与区域产业发展相契合的专业体系</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遵循“扩大规模，适度发展，注重内涵，狠抓质量”的发展思路，努力构建结构优化、面向地方、特色明显、优势突出的专业体系。完善专业设置与淘汰机制，紧紧围绕“一带一路”强支点、中国（江苏）自由贸易试验区连云港片区建设，紧贴地方主导产业和战略性新兴产业对专业人才的需求，结合我校实际办学条件、办学能力，大力发展新商科专业、积极开拓新工科专业。建设媒体产业学院，增设网络直播与运营、网络新闻与传播、传媒与策划等新专业，逐步停办或撤销就业率低、就业质量不理想专业。</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9"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强化专业（群）建设与管理，凸显群优势与群效果</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进一步推进专业集群化、资源集聚化、管理集约化，增强学校办学特色。通过“突出重点，以点带面”，突出定向扶植，集中力量办好地方（行业）急需、优势突出、特色鲜明的专业。“十四五”期间，在建设2-3个在省内，1-2个在国内有一定影响的优势专业基础上，辐射带动相关、相近专业，持续跟进与推动专业集群建设与发展。重点建设会计专业群、电商专业群、软件技术专业群，拓展延伸新工科类、新商科类等具有特色和竞争优势的专业群，“十四五”末， 建设形成4-5个左右专业群发展格局，创建省级高水平专业群2个。建立专业（群）建设评估指标体系，加强专业（群）建设质量监控。实施专业（群）建设目标管理，明确专业（群）建设的近期、远期发展目标。通过试点，遴选一批重点专业建设项目和专业带头人，实行专业带头人目标责任制，建立完整的专业建设检查评估制度，严格考核，奖优赏勤。</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全面完善教学资源建设，保障专业发展支撑到位</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资源统建共建共享机制，强化优质数字化教学资源建设，培育和建设国家、省级在线开放课程，打造一批校级精品在线开放课程，推动数字化教学资源建设专业全覆盖。推进专业资源库、专业题库、课程网站和网络教学平台建设。完善教学管理系统、实践教学管理系统功能，完善教室和实训室教学设施设备条件，营造课堂教学、网络教学、虚拟仿真教学、实训教学等多样化的学习环境。落实教材编写、选用与评价机制，鼓励教师编写出版高质量教材，持续提高国家规划、省重点教材立项数量，系列化编制校本特色教材，全方位保障专业发展支撑到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教务处、智慧校园中心</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落实立德树人根本任务，构建“五育并举”育人体系</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全面贯彻新发展理念，主动融入新发展格局，聚焦区域经济社会发展需求，落实立德树人根本任务，探索建立“五育并举、七彩同创”大学生公寓书院制管理育人体系，促进学生全面发展、健康成长。</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落实立德树人根本任务，构建“五育并举”育人体系</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落实思政课程与课程思政同向同行暨“三全育人”“五育并举”工作机制，着力建章立制，聚焦部门协同，推动育人与课堂教学、服务保障、团学活动、社会实践、志愿服务等全方位融合，着力实现思想政治工作平台对接、资源共享和优势互补。探索制定课程思政标准指南，系统架构“五育并举”课程教学体系，在将军事理论、劳动教育课、美育课程、体育课程按要求纳入人才培养方案、开齐开足基础上，培育校本特色课程，创新校本特色育人模式。选聘道德模范、知名工匠、艺术家等担任兼职教师，充实“五育并举”工作队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建立马克思主义学院，完善马克思主义理论课程体系，推动习近平新时代中国特色社会主义思想“三进”工作，持续推进校级思政教改示范课程建设项目，形成思政课程典型案例。</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马克思主义学院</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完善政行校企协同育人模式，推进完善现代学徒制</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发挥行业办学优势，加强与地方政府、行业、企业深度融合，织密筑牢协同育人网络，实现师资队伍融合、教学资源融合、实践就业体系融合、校企评价融合。健全校企合作配套制度，共同打造教师团队，联合制定人才培养方案，合作开发课程与教材，共同建设“校中企”“企中校”为特色的产学研一体、校内外联动的实习、实训与就业基地、协同参与人才培养质量评价。推动企业参与办班、办学，深化并开拓产业学院建设，积极探索并推行现代学徒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聚焦应用型人才培养，持续深化教学改革</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以提高人才培养质量为核心，突出服务“地方性”和人才培养“应用性”，致力于培养“厚基础、强技能、高素质”应用型人才。对接职教本科相关标准，对接国家教学标准，优化人才培养方案；规范课程设置，整合相关的职业基础课、专业核心课、专业实训实践课，更加体现应用性和实践性，更多地运用基于实际应用的案例教学、项目教学方法，进一步促进岗课赛证创融合发展；进一步完善课程标准，规范优化教学内容、教学过程，推动课堂教学革命，提高课堂效果；有序推进“1+X”证书制度试点与“学分银行”的建设和应用，促进学历证书和职业技能等级证书融通；致力于打造教学特色品牌，力争在国家级教学成果奖、国家级教学名师等项目上实现突破，在省级教学成果奖、优秀教学团队、在线开放课程、产教融合、教学能力大赛、技能大赛、教改课题等项目上取得新进展。</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教务处、组织人事处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建立健全质量诊断和改进机制，推动教学质量和办学水平的全面提升。</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质控办</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bookmarkStart w:id="0" w:name="_GoBack" w:colFirst="4" w:colLast="4"/>
            <w:r>
              <w:rPr>
                <w:rFonts w:hint="default" w:ascii="Times New Roman" w:hAnsi="Times New Roman" w:cs="Times New Roman" w:eastAsiaTheme="minorEastAsia"/>
                <w:color w:val="000000"/>
                <w:sz w:val="21"/>
                <w:szCs w:val="21"/>
              </w:rPr>
              <w:t>5</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健全完善大学生创新创业体系，强化创新创业能力培养</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将创新创业教育融入应用型人才培养全过程，健全和完善大学生创新创业指导体系，聘请有创业经验的人才担任兼职创业指导教师，建立一支专兼结合的专业化、专家化创业就业指导队伍。高标准建设创业孵化园，完善相关配套制度，鼓励学生积极参与国内外科技竞赛、各级各类创新创业大赛，参加大学生创业项目训练与培训，培养更多创新创业人才，不断提高就业竞争力，推动实现更高质量的就业。</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拓展完善现代职教体系，彰显职业教育类型特征</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继续与本科院校合作，办好高职本科“3+2”“4+0”等贯通培养项目，搭建形成高端技术技能型人才培养教育体系。加强与中职院校合作，大力拓展中高职“3+3”贯通培养项目。重构现代职教体系贯通培养项目课程体系，推进衔接课程教学改革，完善课程体系，更新教学内容，创新教学模式，彰显职业教育类型特征。</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教务处、学工处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推进师德师风建设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以树人为核心，以立德为根本，构建师德师风建设制度体系和长效机制，合力将师德师风建设要求贯穿“招聘引进、考核评价、选树典型、违规惩处”教师管理全过程，营造尊师重教的良好氛围，引导广大教师以德立身、以德立学、以德施教、以德育德，坚持“四个相统一”，争做“四有”好老师，当好“四个引路人”，以最优秀的师资队伍培养更优秀的人。</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加大高层次人才引进</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力度</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紧贴学校发展需求，为各专业建设提供强有力的人才保障。在人才引进评价、薪酬标准确定、后勤体系保障等方面全面细化完善学校人才引进相关政策；积极通过网络招聘、现场招聘等多种手段广招海内外各类优秀人才，在补充高学历人才数量的同时，确保引进优秀人才。</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加强人才</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进阶培育</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通过对教学名师、专业带头人、骨干教师、优秀青年教师和优秀团队的重点培育，不断深入推进人才强校战略，努力造就一支师德高尚、技艺精湛、专兼结合、充满活力的高素质“双师型”教师队伍，为实现学校师资队伍建设目标奠定良好的人才资源基础。</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构建完善</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培训体系</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树立新发展理念，落实立德树人根本任务，深化产教融合、校企合作，健全完善教师培训体系和全员培训制度，着力提升教师思想政治素质和师德素养，提高教师教育教学能力。根据教师专业发展不同阶段需求，科学制定培训方案，创新教师培训形式，打造高水平、高层次的技术技能师资队伍。</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教务处、宣传部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完善科研评价导向和</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政策</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构建多维度的科研激励机制，根据专业特点实行科研业绩分类评价，形成体现高职特色的多元化科研业绩评价标准。修订教科研成果奖励办法，完善科研业绩量化管理体系和奖励机制，加大横向课题、专利与软件著作权、技术服务、科研成果转化的奖励力度，不断完善以成果质量为导向的科研激励政策。</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科研处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扩大教育</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对外开放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服务国家“一带一路”战略。积极参与“一带一路”项目联盟建设，为“走出去”企业提供服务。与“一带一路”沿线国家的院校合作，加快实施“引进来”战略，发展包括学历生、访问生、交换生等多种形式的留学生教育，努力实现招收多国别留学生。</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国际交流与合作部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增加校内教师赴海外学习培训的机会，实施短期项目研修与长期海外访学相结合的进修培训项目，逐步形成多层次、多途径、多形式的人才派出格局。拓展境外学习培训项目，提升教师学历层次，推动教师全方位学习发达国家的先进技术和教育理念。</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组织人事处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开展高质量社会培训</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积极主动承接财政系统“十四五”期间各类培训项目，提升服务财政系统能力和水平。加强培训项目设计、培训内容制定、培训教材的开发与编写，引进行业企业先进管理理念和模式，高规格高标准开展社会培训工作。加强与政府、行业、科研院所、企业联系，发挥跨界合作、专业互补的优势，共建培训师资队伍。</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继续教育处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建立开放成人教育体系</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实行面向企业“招工即招生”、面向社会人员“招生即招工”模式，为企业在职职工提升学历和社会人员提高技术技能水平提供精准服务平台。围绕办班质量、经济效益和社会影响同步提升的要求，大力加强职业导向的非学历继续教育，拓展培训市场，打造继续教育品牌。</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继续教育处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1"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8</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大力弘扬传承财院精神</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着眼学校发展的时代要求，丰富“财院精神”、校训、校风等学校精神文化的时代内涵，并进行深入阐释与广泛宣传，开展形式多样的主题教育活动，使“财院精神”成为全校师生员工共同的价值取向。加强校史校情教育，编制《江苏财会职业学院校史（1964-2024）》，培厚财院精神文化新土壤。设计并规范开学典礼、毕业典礼、升旗仪式、优秀表彰等重要典仪，不断强化学校文化认同感和归属感，增强凝聚力和向心力。办好校友会、校友网和校友通讯，积极展现校友风采，营造“校友情系母校、母校关怀校友”文化氛围，在互动中传承弘扬爱校文化。</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统筹推进文化阵地建设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重点建筑和文化设施建设，加快会计史文博馆、金融博物馆、校园综合文化书房修建工作。进一步丰富和创新公共设施内外的学校特色文化表达方式，打造园区文化空间与景观小品，探索建设一批能充分凸显学校办学理念、办学特色的文化墙、文化连廊等公共设施。完成校内建筑、道路、景观等的统一命名工作，增强校内标牌和固定放置物的艺术设计，着力体现人文精神，努力提升校园文化品味。</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打造文化</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品牌项目</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进一步发挥校园文化活动的育人功能，深入推进校园文化活动由数量型向品质型转变。加大对教职工文艺、体育等团体或协会组织的支持力度，进一步丰富教职工文化生活。继续办好体育文化节、党风廉政教育月等活动。推动“一系一品”校园文化品牌培育建设，支持和鼓励塑造与学校文化相得益彰的系部文化品牌和形象。深化校企文化融合，积极培育工匠精神和创新创业精神。推动开展校园文化优秀成果展评，进一步促进文化品牌形成，扩大文化品牌影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深入开展礼敬中华优秀传统文化、高雅艺术进校园活动，不断提升学校文化品位，强化示范辐射效应。</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团委</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扩大学校</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文化传播</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整合平面、视听、网络媒体渠道，加强校媒协同，建设校媒矩阵，形成融媒体体系，使其成为助推学校文化发展、展示学校品牌形象的重要载体和平台，以讲述财院好故事、传播财院好声音为重点，努力形成协调统一的财院文化传播格局，不断提升学校的社会美誉度和知名度。</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完善基础</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设施建设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根据学校事业发展需要，抢抓发展机遇，主动对接地方政府，积极拓展校区面积。</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办公室</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完善校园规划，确保现有校区功能协调，运转有序，努力满足教学、实训、科研和师生生活需求。增加投入，有计划、有步骤地做好食堂、宿舍等校园基础设施设备的更新改造和校园人文景观的建设工作，努力营造商贸特色的校园人文环境。创新投融资渠道，探索体制机制创新，加快学生宿舍建设。</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宣传部、财务处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加大图书</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资源建设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充实馆藏文献数量，优化文献资源结构，引进高质量文献资料，提高馆藏文献质量。不断丰富数字文献资料，积极推进数字图书馆建设。加强特色数据库建设，建立健全个性化、网络化、智能化的图书服务体系，充分发挥图书馆育人功能与服务功能。</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图书馆</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推进智慧</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校园建设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不断完善校园网络、数据中心、教学设施、物联网、应用支撑平台等智慧环境建设，持续提升学校教育信息化基础支撑能力；不断深化在基础应用、教学科研、管理应用及校园服务等领域信息系统的应用与融合创新，不断提高校园应用与服务信息化水平；不断提高在线开放课程、数字图书馆及校园文化等数字资源建设的质量与水平；不断提高网络安全防护系统建设与应用水平，不断完善网络安全队伍建设，打造可信认证环境，构建安全稳定，保障有力的校园网络安全空间。</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智慧校园中心</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推进生态</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校园建设</w:t>
            </w:r>
          </w:p>
        </w:tc>
        <w:tc>
          <w:tcPr>
            <w:tcW w:w="86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统筹学校的发展空间，完善公用和基础设施，进一步优化美化校园环境，做到使用功能、育人功能和审美功能的和谐统一。以绿色可持续发展理念引领校园环境建设，坚持低碳、节能、环保的校园建设路径。注重师生的绿色教育，培养生态意识，开展节约水电、节约粮食、节约公共资源等绿色行动，推进建设节约型高校、生态型校园，形成人与自然和谐相处的绿色校园。</w:t>
            </w:r>
          </w:p>
        </w:tc>
        <w:tc>
          <w:tcPr>
            <w:tcW w:w="12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w:t>
            </w:r>
          </w:p>
        </w:tc>
        <w:tc>
          <w:tcPr>
            <w:tcW w:w="13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推进平安</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校园建设</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安保设备、设施建设，着力推进学校安全保卫工作的制度化和规范化，进一步提升危机公关和应急处理能力。强化校园公共卫生管理，重视校园食品安全、疫情防控、疾病防治、健康教育等工作，重视学生安全法制和心理健康教育，完善预警机制和工作体系，打造省级高质量平安校园。</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安保处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后勤管理处、学工处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多渠道争取经费投入</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大力提倡开源节流，积极开辟创收渠道，主动争取省市各级政府的经费支持。积极申报省、市职教专项，力争获得更多的专项经费支持。通过校企合作、社会捐赠、盘活存量资产、体制机制创新等方式，广泛吸纳社会资金和资源参与学校办学，实现资金来源多元化，为学校有序推进“十四五”建设项目提供强有力的经费保障。</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财务处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0"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加强资金管理和绩效</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评价</w:t>
            </w:r>
          </w:p>
        </w:tc>
        <w:tc>
          <w:tcPr>
            <w:tcW w:w="86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按照“量入为出，收支平衡”原则，科学编制计划和资金预算，构建符合学校管理特点的计划、预算体系。建立健全财务管理制度，完善计划预算和财务信息管理系统，加强经费管理、风险管控和绩效评估，努力降低运行成本，保证学校资金依法、高效、合理使用。在坚持规范化的基础上，扩大二级院（系）经费使用自主权。探索和完善以内部控制和风险管理为重点，以促进提高管理水平和办学效益、防范风险为目的的管理审计模式。加强经费使用监督，强化重大建设项目和经费使用全过程的审计，确保经费使用规范、安全、有效。</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财务处</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各单位、各部门</w:t>
            </w:r>
          </w:p>
        </w:tc>
      </w:tr>
    </w:tbl>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sectPr>
          <w:pgSz w:w="16838" w:h="11906" w:orient="landscape"/>
          <w:pgMar w:top="2098" w:right="1474" w:bottom="1985" w:left="1588" w:header="851" w:footer="992" w:gutter="0"/>
          <w:pgNumType w:fmt="numberInDash"/>
          <w:cols w:space="425" w:num="1"/>
          <w:docGrid w:type="linesAndChars" w:linePitch="312" w:charSpace="0"/>
        </w:sect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76" w:lineRule="exact"/>
        <w:ind w:left="0" w:right="0"/>
        <w:textAlignment w:val="auto"/>
        <w:rPr>
          <w:rFonts w:hint="default" w:ascii="Times New Roman" w:hAnsi="Times New Roman" w:cs="Times New Roman"/>
        </w:rPr>
      </w:pPr>
    </w:p>
    <w:tbl>
      <w:tblPr>
        <w:tblStyle w:val="5"/>
        <w:tblpPr w:leftFromText="180" w:rightFromText="180" w:vertAnchor="text" w:horzAnchor="page" w:tblpX="1689" w:tblpY="426"/>
        <w:tblOverlap w:val="never"/>
        <w:tblW w:w="9286" w:type="dxa"/>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c>
          <w:tcPr>
            <w:tcW w:w="9286" w:type="dxa"/>
            <w:tcBorders>
              <w:top w:val="single" w:color="000000" w:sz="4" w:space="0"/>
              <w:left w:val="nil"/>
              <w:bottom w:val="single" w:color="000000" w:sz="4" w:space="0"/>
              <w:right w:val="nil"/>
            </w:tcBorders>
          </w:tcPr>
          <w:p>
            <w:pPr>
              <w:keepNext w:val="0"/>
              <w:keepLines w:val="0"/>
              <w:pageBreakBefore w:val="0"/>
              <w:kinsoku/>
              <w:wordWrap/>
              <w:overflowPunct/>
              <w:topLinePunct w:val="0"/>
              <w:autoSpaceDE/>
              <w:autoSpaceDN/>
              <w:bidi w:val="0"/>
              <w:adjustRightInd/>
              <w:spacing w:line="576" w:lineRule="exact"/>
              <w:ind w:left="0" w:right="0" w:firstLine="160" w:firstLineChars="5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江苏财会职业学院办公室             2021年11月</w:t>
            </w:r>
            <w:r>
              <w:rPr>
                <w:rFonts w:hint="default" w:ascii="Times New Roman" w:hAnsi="Times New Roman" w:cs="Times New Roman"/>
                <w:color w:val="000000"/>
                <w:sz w:val="32"/>
                <w:szCs w:val="32"/>
                <w:lang w:val="en-US" w:eastAsia="zh-CN"/>
              </w:rPr>
              <w:t>12</w:t>
            </w:r>
            <w:r>
              <w:rPr>
                <w:rFonts w:hint="default" w:ascii="Times New Roman" w:hAnsi="Times New Roman" w:cs="Times New Roman"/>
                <w:color w:val="00000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right="0"/>
        <w:textAlignment w:val="auto"/>
        <w:rPr>
          <w:rFonts w:hint="default" w:ascii="Times New Roman" w:hAnsi="Times New Roman" w:cs="Times New Roman"/>
        </w:rPr>
      </w:pPr>
    </w:p>
    <w:sectPr>
      <w:pgSz w:w="11906" w:h="16838"/>
      <w:pgMar w:top="1474" w:right="1985" w:bottom="1588" w:left="209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13"/>
    <w:rsid w:val="00004532"/>
    <w:rsid w:val="000133F6"/>
    <w:rsid w:val="00027771"/>
    <w:rsid w:val="000F41C6"/>
    <w:rsid w:val="00130C02"/>
    <w:rsid w:val="00175259"/>
    <w:rsid w:val="001A5BB0"/>
    <w:rsid w:val="0028334B"/>
    <w:rsid w:val="002B4D13"/>
    <w:rsid w:val="002B7529"/>
    <w:rsid w:val="00312E1B"/>
    <w:rsid w:val="003145F6"/>
    <w:rsid w:val="00320536"/>
    <w:rsid w:val="0033244C"/>
    <w:rsid w:val="00333054"/>
    <w:rsid w:val="00360C5D"/>
    <w:rsid w:val="003768F4"/>
    <w:rsid w:val="00394829"/>
    <w:rsid w:val="00395955"/>
    <w:rsid w:val="00395B43"/>
    <w:rsid w:val="003B3649"/>
    <w:rsid w:val="003F2171"/>
    <w:rsid w:val="00410769"/>
    <w:rsid w:val="004160BE"/>
    <w:rsid w:val="0043503F"/>
    <w:rsid w:val="00436C90"/>
    <w:rsid w:val="00496CD0"/>
    <w:rsid w:val="004A3722"/>
    <w:rsid w:val="004B2600"/>
    <w:rsid w:val="004C2D60"/>
    <w:rsid w:val="004F3208"/>
    <w:rsid w:val="00500A55"/>
    <w:rsid w:val="00564A8C"/>
    <w:rsid w:val="00580350"/>
    <w:rsid w:val="005863B6"/>
    <w:rsid w:val="005C2D7B"/>
    <w:rsid w:val="006E0AF7"/>
    <w:rsid w:val="0070041F"/>
    <w:rsid w:val="00717200"/>
    <w:rsid w:val="00755CBD"/>
    <w:rsid w:val="0077150A"/>
    <w:rsid w:val="0078597A"/>
    <w:rsid w:val="007A6DB0"/>
    <w:rsid w:val="007E63A5"/>
    <w:rsid w:val="007F0A46"/>
    <w:rsid w:val="00840AFC"/>
    <w:rsid w:val="00843B00"/>
    <w:rsid w:val="00892B8C"/>
    <w:rsid w:val="0094040A"/>
    <w:rsid w:val="00964D22"/>
    <w:rsid w:val="00970433"/>
    <w:rsid w:val="0097349A"/>
    <w:rsid w:val="00974FD9"/>
    <w:rsid w:val="00977F64"/>
    <w:rsid w:val="009B5AFF"/>
    <w:rsid w:val="009D271A"/>
    <w:rsid w:val="009F33FA"/>
    <w:rsid w:val="00A36356"/>
    <w:rsid w:val="00A41AAD"/>
    <w:rsid w:val="00A433DA"/>
    <w:rsid w:val="00A50662"/>
    <w:rsid w:val="00A62531"/>
    <w:rsid w:val="00A627FF"/>
    <w:rsid w:val="00A87FFA"/>
    <w:rsid w:val="00A95ACB"/>
    <w:rsid w:val="00B12C75"/>
    <w:rsid w:val="00B41AE3"/>
    <w:rsid w:val="00BA76CD"/>
    <w:rsid w:val="00C81BFC"/>
    <w:rsid w:val="00C86354"/>
    <w:rsid w:val="00C90D5C"/>
    <w:rsid w:val="00CA3B81"/>
    <w:rsid w:val="00CA4423"/>
    <w:rsid w:val="00CA5BC7"/>
    <w:rsid w:val="00CA66A3"/>
    <w:rsid w:val="00CE2186"/>
    <w:rsid w:val="00D039BB"/>
    <w:rsid w:val="00D067ED"/>
    <w:rsid w:val="00D33B99"/>
    <w:rsid w:val="00DB0AF9"/>
    <w:rsid w:val="00DC700A"/>
    <w:rsid w:val="00DE61F7"/>
    <w:rsid w:val="00E14595"/>
    <w:rsid w:val="00E34008"/>
    <w:rsid w:val="00E83CFC"/>
    <w:rsid w:val="00EA33E5"/>
    <w:rsid w:val="00EA7428"/>
    <w:rsid w:val="00EB3D35"/>
    <w:rsid w:val="00ED2589"/>
    <w:rsid w:val="00F25B45"/>
    <w:rsid w:val="00F25C77"/>
    <w:rsid w:val="00F52D6C"/>
    <w:rsid w:val="00F73A67"/>
    <w:rsid w:val="00FF1C6B"/>
    <w:rsid w:val="014411B5"/>
    <w:rsid w:val="0BA2180A"/>
    <w:rsid w:val="1B6B4067"/>
    <w:rsid w:val="26362C8E"/>
    <w:rsid w:val="32650F71"/>
    <w:rsid w:val="3316226B"/>
    <w:rsid w:val="34982F8B"/>
    <w:rsid w:val="3A94442D"/>
    <w:rsid w:val="48D04F3E"/>
    <w:rsid w:val="4C0F58E1"/>
    <w:rsid w:val="4C3B3004"/>
    <w:rsid w:val="5F9C5723"/>
    <w:rsid w:val="6C61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eastAsia="宋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szCs w:val="20"/>
    </w:rPr>
  </w:style>
  <w:style w:type="character" w:customStyle="1" w:styleId="8">
    <w:name w:val="批注框文本 Char"/>
    <w:basedOn w:val="6"/>
    <w:link w:val="2"/>
    <w:semiHidden/>
    <w:uiPriority w:val="99"/>
    <w:rPr>
      <w:rFonts w:ascii="Times New Roman" w:hAnsi="Times New Roman" w:eastAsia="仿宋_GB2312"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1599</Words>
  <Characters>9120</Characters>
  <Lines>76</Lines>
  <Paragraphs>21</Paragraphs>
  <TotalTime>23</TotalTime>
  <ScaleCrop>false</ScaleCrop>
  <LinksUpToDate>false</LinksUpToDate>
  <CharactersWithSpaces>10698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2016-03-11T08:15:00Z</dcterms:created>
  <dc:creator>Administrator</dc:creator>
  <cp:lastModifiedBy>豆子呦呦</cp:lastModifiedBy>
  <cp:lastPrinted>2016-03-11T08:26:00Z</cp:lastPrinted>
  <dcterms:modified xsi:type="dcterms:W3CDTF">2021-11-30T07:55:16Z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720D985C2093492DB2C49D2EA37F7514</vt:lpwstr>
  </property>
</Properties>
</file>