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3D18" w14:textId="77777777" w:rsidR="0010196A" w:rsidRDefault="000E5F18">
      <w:pPr>
        <w:pStyle w:val="a3"/>
        <w:widowControl/>
        <w:shd w:val="clear" w:color="auto" w:fill="FFFFFF"/>
        <w:spacing w:beforeAutospacing="0" w:after="60" w:afterAutospacing="0" w:line="368" w:lineRule="atLeast"/>
        <w:jc w:val="center"/>
        <w:rPr>
          <w:rFonts w:ascii="宋体" w:eastAsia="宋体" w:hAnsi="宋体" w:cs="宋体"/>
          <w:b/>
          <w:bCs/>
          <w:color w:val="333333"/>
          <w:sz w:val="44"/>
          <w:szCs w:val="44"/>
        </w:rPr>
      </w:pPr>
      <w:r>
        <w:rPr>
          <w:rFonts w:ascii="宋体" w:eastAsia="宋体" w:hAnsi="宋体" w:cs="宋体" w:hint="eastAsia"/>
          <w:b/>
          <w:bCs/>
          <w:color w:val="333333"/>
          <w:sz w:val="44"/>
          <w:szCs w:val="44"/>
          <w:shd w:val="clear" w:color="auto" w:fill="FFFFFF"/>
        </w:rPr>
        <w:t>高等学校预防与处理学术不端行为办法</w:t>
      </w:r>
    </w:p>
    <w:p w14:paraId="30CA7EB6" w14:textId="77777777" w:rsidR="0010196A" w:rsidRDefault="0010196A">
      <w:pPr>
        <w:pStyle w:val="a3"/>
        <w:widowControl/>
        <w:shd w:val="clear" w:color="auto" w:fill="FFFFFF"/>
        <w:spacing w:beforeAutospacing="0" w:after="60" w:afterAutospacing="0" w:line="16" w:lineRule="atLeast"/>
        <w:rPr>
          <w:rFonts w:ascii="Tahoma" w:eastAsia="Tahoma" w:hAnsi="Tahoma" w:cs="Tahoma"/>
          <w:color w:val="333333"/>
          <w:sz w:val="14"/>
          <w:szCs w:val="14"/>
        </w:rPr>
      </w:pPr>
    </w:p>
    <w:p w14:paraId="636BE069"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t>第一章总则</w:t>
      </w:r>
    </w:p>
    <w:p w14:paraId="3C8D033F"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第一条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14:paraId="08C25F55" w14:textId="77777777" w:rsidR="0010196A" w:rsidRDefault="000E5F18">
      <w:pPr>
        <w:pStyle w:val="a3"/>
        <w:widowControl/>
        <w:shd w:val="clear" w:color="auto" w:fill="FFFFFF"/>
        <w:spacing w:beforeAutospacing="0" w:after="60" w:afterAutospacing="0" w:line="500" w:lineRule="exact"/>
        <w:ind w:firstLineChars="200" w:firstLine="602"/>
        <w:rPr>
          <w:rFonts w:ascii="仿宋" w:eastAsia="仿宋" w:hAnsi="仿宋" w:cs="仿宋"/>
          <w:color w:val="333333"/>
          <w:sz w:val="28"/>
          <w:szCs w:val="28"/>
        </w:rPr>
      </w:pPr>
      <w:r>
        <w:rPr>
          <w:rFonts w:ascii="仿宋" w:eastAsia="仿宋" w:hAnsi="仿宋" w:cs="仿宋" w:hint="eastAsia"/>
          <w:b/>
          <w:bCs/>
          <w:color w:val="333333"/>
          <w:sz w:val="30"/>
          <w:szCs w:val="30"/>
          <w:shd w:val="clear" w:color="auto" w:fill="FFFFFF"/>
        </w:rPr>
        <w:t>第二条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本办法所称学术不端行为是指高等学校及其教学科研人员、管理人员和学生，在科学研究及相关活动中发生的违反公认的学术准则、违背学术诚信的行为。</w:t>
      </w:r>
    </w:p>
    <w:p w14:paraId="23CFF26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高等学校预防与处理学术不端行为应坚持预防为主、教育与惩戒结合的原则。</w:t>
      </w:r>
    </w:p>
    <w:p w14:paraId="7B925D69"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第四条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14:paraId="39166DBF"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第五条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14:paraId="2C7D01BE" w14:textId="77777777" w:rsidR="0010196A" w:rsidRDefault="000E5F18">
      <w:pPr>
        <w:pStyle w:val="a3"/>
        <w:widowControl/>
        <w:shd w:val="clear" w:color="auto" w:fill="FFFFFF"/>
        <w:spacing w:beforeAutospacing="0" w:after="60" w:afterAutospacing="0" w:line="500" w:lineRule="exact"/>
        <w:ind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高等学校应当充分发挥学术委员会在学风建设方面的作用，支持和保障学术委员会依法履行职</w:t>
      </w:r>
      <w:r>
        <w:rPr>
          <w:rFonts w:ascii="仿宋" w:eastAsia="仿宋" w:hAnsi="仿宋" w:cs="仿宋" w:hint="eastAsia"/>
          <w:color w:val="333333"/>
          <w:sz w:val="28"/>
          <w:szCs w:val="28"/>
          <w:shd w:val="clear" w:color="auto" w:fill="FFFFFF"/>
        </w:rPr>
        <w:t>责，调查、认定学术不端行为。</w:t>
      </w:r>
    </w:p>
    <w:p w14:paraId="52B8A931" w14:textId="77777777" w:rsidR="0010196A" w:rsidRDefault="0010196A">
      <w:pPr>
        <w:pStyle w:val="a3"/>
        <w:widowControl/>
        <w:shd w:val="clear" w:color="auto" w:fill="FFFFFF"/>
        <w:spacing w:beforeAutospacing="0" w:after="60" w:afterAutospacing="0" w:line="500" w:lineRule="exact"/>
        <w:ind w:firstLine="560"/>
        <w:rPr>
          <w:rFonts w:ascii="仿宋" w:eastAsia="仿宋" w:hAnsi="仿宋" w:cs="仿宋"/>
          <w:color w:val="333333"/>
          <w:sz w:val="28"/>
          <w:szCs w:val="28"/>
          <w:shd w:val="clear" w:color="auto" w:fill="FFFFFF"/>
        </w:rPr>
      </w:pPr>
    </w:p>
    <w:p w14:paraId="113FAE78" w14:textId="77777777" w:rsidR="0010196A" w:rsidRDefault="0010196A">
      <w:pPr>
        <w:pStyle w:val="a3"/>
        <w:widowControl/>
        <w:shd w:val="clear" w:color="auto" w:fill="FFFFFF"/>
        <w:spacing w:beforeAutospacing="0" w:after="60" w:afterAutospacing="0" w:line="500" w:lineRule="exact"/>
        <w:ind w:firstLine="560"/>
        <w:rPr>
          <w:rFonts w:ascii="仿宋" w:eastAsia="仿宋" w:hAnsi="仿宋" w:cs="仿宋"/>
          <w:color w:val="333333"/>
          <w:sz w:val="28"/>
          <w:szCs w:val="28"/>
          <w:shd w:val="clear" w:color="auto" w:fill="FFFFFF"/>
        </w:rPr>
      </w:pPr>
    </w:p>
    <w:p w14:paraId="5314FA20" w14:textId="77777777" w:rsidR="0010196A" w:rsidRDefault="0010196A">
      <w:pPr>
        <w:pStyle w:val="a3"/>
        <w:widowControl/>
        <w:shd w:val="clear" w:color="auto" w:fill="FFFFFF"/>
        <w:spacing w:beforeAutospacing="0" w:after="60" w:afterAutospacing="0" w:line="500" w:lineRule="exact"/>
        <w:ind w:firstLine="560"/>
        <w:rPr>
          <w:rFonts w:ascii="仿宋" w:eastAsia="仿宋" w:hAnsi="仿宋" w:cs="仿宋"/>
          <w:color w:val="333333"/>
          <w:sz w:val="28"/>
          <w:szCs w:val="28"/>
          <w:shd w:val="clear" w:color="auto" w:fill="FFFFFF"/>
        </w:rPr>
      </w:pPr>
    </w:p>
    <w:p w14:paraId="66CC70DE" w14:textId="77777777" w:rsidR="0010196A" w:rsidRDefault="0010196A">
      <w:pPr>
        <w:pStyle w:val="a3"/>
        <w:widowControl/>
        <w:shd w:val="clear" w:color="auto" w:fill="FFFFFF"/>
        <w:spacing w:beforeAutospacing="0" w:after="60" w:afterAutospacing="0" w:line="500" w:lineRule="exact"/>
        <w:ind w:firstLine="560"/>
        <w:rPr>
          <w:rFonts w:ascii="仿宋" w:eastAsia="仿宋" w:hAnsi="仿宋" w:cs="仿宋"/>
          <w:color w:val="333333"/>
          <w:sz w:val="28"/>
          <w:szCs w:val="28"/>
          <w:shd w:val="clear" w:color="auto" w:fill="FFFFFF"/>
        </w:rPr>
      </w:pPr>
    </w:p>
    <w:p w14:paraId="4C12ED48"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lastRenderedPageBreak/>
        <w:t>第二章教育与预防</w:t>
      </w:r>
    </w:p>
    <w:p w14:paraId="0D25CDEF"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第六条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高等学校应当完善学术治理体系，建立科学公正的学术评价和学术发展制度，营造鼓励创新、宽容失败、不骄不躁、风清气正的学术环境。</w:t>
      </w:r>
    </w:p>
    <w:p w14:paraId="7E59F71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高等学校教学科研人员、管理人员、学生在科研活动中应当遵循实事求是的科学精神和严谨认真的治学态度，恪守学术诚信，遵循学术准则，尊重和保护他人知识产权等合法权益。</w:t>
      </w:r>
    </w:p>
    <w:p w14:paraId="5C68AF61"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第七条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高等学校应当将学术规范和学术诚信教育，作为教师培训和学生教育的必要内容，以多种形式开展教育、培训。</w:t>
      </w:r>
    </w:p>
    <w:p w14:paraId="371CF27B"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教师对其指导的学生应当进行学术规范、学术诚信教育和指导，对学生公开发表论文、研究和撰写学位论文是否符合学术规范、学术诚信要求，进行必要的检查与审核。</w:t>
      </w:r>
    </w:p>
    <w:p w14:paraId="6C8F3525"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第八条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高等学校应当利用信息技术等手段，建立对学术成果、学位论文所涉及内容的知</w:t>
      </w:r>
      <w:r>
        <w:rPr>
          <w:rFonts w:ascii="仿宋" w:eastAsia="仿宋" w:hAnsi="仿宋" w:cs="仿宋" w:hint="eastAsia"/>
          <w:color w:val="333333"/>
          <w:sz w:val="28"/>
          <w:szCs w:val="28"/>
          <w:shd w:val="clear" w:color="auto" w:fill="FFFFFF"/>
        </w:rPr>
        <w:t>识产权查询制度，健全学术规范监督机制。</w:t>
      </w:r>
    </w:p>
    <w:p w14:paraId="4CF6ABD3"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 xml:space="preserve">　第九条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高等学校应当建立健全科研管理制度，在合理期限内保存研究的原始数据和资料，保证科研档案和数据的真实性、完整性。</w:t>
      </w:r>
    </w:p>
    <w:p w14:paraId="2E2AA056"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高等学校应当完善科研项目评审、学术成果鉴定程序，结合学科特点，对非涉密的科研项目申报材料、学术成果的基本信息以适当方式进行公开。</w:t>
      </w:r>
    </w:p>
    <w:p w14:paraId="3455BF30"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高等学校应当遵循学术研究规律，建立科学的学术水平考核评价标准、办法，引导教学科研人员和学生潜心研究，形成具有创新性、独创性的研究成果。</w:t>
      </w:r>
    </w:p>
    <w:p w14:paraId="589453E7" w14:textId="77777777" w:rsidR="0010196A" w:rsidRDefault="000E5F18">
      <w:pPr>
        <w:pStyle w:val="a3"/>
        <w:widowControl/>
        <w:shd w:val="clear" w:color="auto" w:fill="FFFFFF"/>
        <w:spacing w:beforeAutospacing="0" w:after="60" w:afterAutospacing="0" w:line="500" w:lineRule="exact"/>
        <w:ind w:firstLineChars="200" w:firstLine="602"/>
        <w:rPr>
          <w:rFonts w:ascii="仿宋" w:eastAsia="仿宋" w:hAnsi="仿宋" w:cs="仿宋"/>
          <w:color w:val="333333"/>
          <w:sz w:val="28"/>
          <w:szCs w:val="28"/>
          <w:shd w:val="clear" w:color="auto" w:fill="FFFFFF"/>
        </w:rPr>
      </w:pPr>
      <w:r>
        <w:rPr>
          <w:rFonts w:ascii="仿宋" w:eastAsia="仿宋" w:hAnsi="仿宋" w:cs="仿宋" w:hint="eastAsia"/>
          <w:b/>
          <w:bCs/>
          <w:color w:val="333333"/>
          <w:sz w:val="30"/>
          <w:szCs w:val="30"/>
          <w:shd w:val="clear" w:color="auto" w:fill="FFFFFF"/>
        </w:rPr>
        <w:t>第十一条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高等学校应当建立教学科研人员学术诚信记录，在年度考核、职称评定、岗位聘用、课题立项、人才计划、评优奖励中强化学术诚信考核。</w:t>
      </w:r>
    </w:p>
    <w:p w14:paraId="4D6398FD" w14:textId="77777777" w:rsidR="0010196A" w:rsidRDefault="0010196A">
      <w:pPr>
        <w:pStyle w:val="a3"/>
        <w:widowControl/>
        <w:shd w:val="clear" w:color="auto" w:fill="FFFFFF"/>
        <w:spacing w:beforeAutospacing="0" w:after="60" w:afterAutospacing="0" w:line="500" w:lineRule="exact"/>
        <w:ind w:firstLineChars="200" w:firstLine="560"/>
        <w:rPr>
          <w:rFonts w:ascii="仿宋" w:eastAsia="仿宋" w:hAnsi="仿宋" w:cs="仿宋"/>
          <w:color w:val="333333"/>
          <w:sz w:val="28"/>
          <w:szCs w:val="28"/>
          <w:shd w:val="clear" w:color="auto" w:fill="FFFFFF"/>
        </w:rPr>
      </w:pPr>
    </w:p>
    <w:p w14:paraId="00F0F41C" w14:textId="77777777" w:rsidR="0010196A" w:rsidRDefault="000E5F18">
      <w:pPr>
        <w:pStyle w:val="a3"/>
        <w:widowControl/>
        <w:shd w:val="clear" w:color="auto" w:fill="FFFFFF"/>
        <w:spacing w:beforeAutospacing="0" w:after="60" w:afterAutospacing="0" w:line="500" w:lineRule="exact"/>
        <w:jc w:val="center"/>
        <w:rPr>
          <w:rFonts w:ascii="黑体" w:eastAsia="黑体" w:hAnsi="黑体" w:cs="黑体"/>
          <w:color w:val="333333"/>
          <w:sz w:val="30"/>
          <w:szCs w:val="30"/>
          <w:shd w:val="clear" w:color="auto" w:fill="FFFFFF"/>
        </w:rPr>
      </w:pPr>
      <w:r>
        <w:rPr>
          <w:rFonts w:ascii="黑体" w:eastAsia="黑体" w:hAnsi="黑体" w:cs="黑体" w:hint="eastAsia"/>
          <w:color w:val="333333"/>
          <w:sz w:val="30"/>
          <w:szCs w:val="30"/>
          <w:shd w:val="clear" w:color="auto" w:fill="FFFFFF"/>
        </w:rPr>
        <w:lastRenderedPageBreak/>
        <w:t>第三章受理与调查</w:t>
      </w:r>
    </w:p>
    <w:p w14:paraId="36D1939D"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第十二条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14:paraId="2118C5C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第十三条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对学术不端行为的举报，一般应当以书面方式实名提出，并符合下列条件：</w:t>
      </w:r>
    </w:p>
    <w:p w14:paraId="4E683D2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（一）有明确的举报对象；</w:t>
      </w:r>
    </w:p>
    <w:p w14:paraId="0FFE130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（二）有实施学术不端行为的事实；</w:t>
      </w:r>
    </w:p>
    <w:p w14:paraId="212CA69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（三）有客观的证据材料或者查证线索。</w:t>
      </w:r>
    </w:p>
    <w:p w14:paraId="48FEFD4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以匿名方式举报，但事实清楚、证据充分或者线索明确的，高等学校应当视情况予以受理。</w:t>
      </w:r>
    </w:p>
    <w:p w14:paraId="7946E57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第十四条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高等学校对媒体公开报道、其他学术机构或者社会组织主动披露的涉及本校人员的学术不端行为，应当依据职权，主动进行调查处理。</w:t>
      </w:r>
    </w:p>
    <w:p w14:paraId="2FDD857C"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第十五条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高等学校受理机构认为举报材料符合条件的，应当及时</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受理决定，并通知举报人。不予受理的，应当书面说明理由。</w:t>
      </w:r>
    </w:p>
    <w:p w14:paraId="6056A0B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第十六条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学术不端行为举报受理后，应当交由学校学术委员会按照相关程序组织开展调查。</w:t>
      </w:r>
    </w:p>
    <w:p w14:paraId="76606EEF"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学术委员会可委托有关专家就举报内容的合理性、调查的可能性等进行初步审查，并</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是否进入正式调查的决定。</w:t>
      </w:r>
    </w:p>
    <w:p w14:paraId="6C8CBA96"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决定不进入正式调查的，应当告知举报人。举报人如有新的证据，可以提出异议。异议成立的，应当进入正式调查。</w:t>
      </w:r>
    </w:p>
    <w:p w14:paraId="6DDEFEC1"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第十七条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高等学校学术委员会决定进入正式调查的，应当通知被举报人。</w:t>
      </w:r>
    </w:p>
    <w:p w14:paraId="1EE0327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被调查行为涉及资助项目的，可以同时通知项目资助方。</w:t>
      </w:r>
    </w:p>
    <w:p w14:paraId="19FCDEEB"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w:t>
      </w:r>
      <w:r>
        <w:rPr>
          <w:rFonts w:ascii="仿宋" w:eastAsia="仿宋" w:hAnsi="仿宋" w:cs="仿宋" w:hint="eastAsia"/>
          <w:b/>
          <w:bCs/>
          <w:color w:val="333333"/>
          <w:sz w:val="30"/>
          <w:szCs w:val="30"/>
          <w:shd w:val="clear" w:color="auto" w:fill="FFFFFF"/>
        </w:rPr>
        <w:t>第十八条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高等学校学术委员会应当组成调查组，负责对被举报行为进行调查；但对事实清楚、证据</w:t>
      </w:r>
      <w:r>
        <w:rPr>
          <w:rFonts w:ascii="仿宋" w:eastAsia="仿宋" w:hAnsi="仿宋" w:cs="仿宋" w:hint="eastAsia"/>
          <w:color w:val="333333"/>
          <w:sz w:val="28"/>
          <w:szCs w:val="28"/>
          <w:shd w:val="clear" w:color="auto" w:fill="FFFFFF"/>
        </w:rPr>
        <w:t>确凿、情节简单的被举报行为，也可以采用简易调查程序，具体办法由学术委员会确定。</w:t>
      </w:r>
    </w:p>
    <w:p w14:paraId="15008F20"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调查组应当不少于３人，必要时应当包括学校纪检、监察机构指派的工作人员，可以邀请同行专家参与调查或者以咨询等方式提供学术判断。</w:t>
      </w:r>
    </w:p>
    <w:p w14:paraId="517F897A"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被调查行为涉及资助项目的，可以邀请项目资助方委派相关专业人员参与调查组。</w:t>
      </w:r>
    </w:p>
    <w:p w14:paraId="24C9F8C5"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第十九条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调查组的组成人员与举报人或者被举报人有合作研究、亲属或者导师学生等直接利害关系的，应当回避。</w:t>
      </w:r>
    </w:p>
    <w:p w14:paraId="7359632C"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调查可通过查询资料、现场查看、实验检验、询问证人、询问举报人和被举报人等方式进行。调查组认为有必要的，</w:t>
      </w:r>
      <w:r>
        <w:rPr>
          <w:rFonts w:ascii="仿宋" w:eastAsia="仿宋" w:hAnsi="仿宋" w:cs="仿宋" w:hint="eastAsia"/>
          <w:color w:val="333333"/>
          <w:sz w:val="28"/>
          <w:szCs w:val="28"/>
          <w:shd w:val="clear" w:color="auto" w:fill="FFFFFF"/>
        </w:rPr>
        <w:t>可以委托无利害关系的专家或者第三</w:t>
      </w:r>
      <w:proofErr w:type="gramStart"/>
      <w:r>
        <w:rPr>
          <w:rFonts w:ascii="仿宋" w:eastAsia="仿宋" w:hAnsi="仿宋" w:cs="仿宋" w:hint="eastAsia"/>
          <w:color w:val="333333"/>
          <w:sz w:val="28"/>
          <w:szCs w:val="28"/>
          <w:shd w:val="clear" w:color="auto" w:fill="FFFFFF"/>
        </w:rPr>
        <w:t>方专业</w:t>
      </w:r>
      <w:proofErr w:type="gramEnd"/>
      <w:r>
        <w:rPr>
          <w:rFonts w:ascii="仿宋" w:eastAsia="仿宋" w:hAnsi="仿宋" w:cs="仿宋" w:hint="eastAsia"/>
          <w:color w:val="333333"/>
          <w:sz w:val="28"/>
          <w:szCs w:val="28"/>
          <w:shd w:val="clear" w:color="auto" w:fill="FFFFFF"/>
        </w:rPr>
        <w:t>机构就有关事项进行独立调查或者验证。</w:t>
      </w:r>
    </w:p>
    <w:p w14:paraId="473E855F"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第二十一条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调查组在调查过程中，应当认真听取被举报人的陈述、申辩，对有关事实、理由和证据进行核实；认为必要的，可以采取听证方式。</w:t>
      </w:r>
    </w:p>
    <w:p w14:paraId="448F670D"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第二十二条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有关单位和个人应当为调查组开展工作提供必要的便利和协助。</w:t>
      </w:r>
    </w:p>
    <w:p w14:paraId="4C7139E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举报人、被举报人、证人及其他有关人员应当如实回答询问，配合调查，提供相关证据材料，不得隐瞒或者提供虚假信息。</w:t>
      </w:r>
    </w:p>
    <w:p w14:paraId="2EC67CFA"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第二十三条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调查过程中，出现知识产权等争议引发的法律纠纷的，且该争议可能影响行为定性的，应当中止调查，待争议解</w:t>
      </w:r>
      <w:r>
        <w:rPr>
          <w:rFonts w:ascii="仿宋" w:eastAsia="仿宋" w:hAnsi="仿宋" w:cs="仿宋" w:hint="eastAsia"/>
          <w:color w:val="333333"/>
          <w:sz w:val="28"/>
          <w:szCs w:val="28"/>
          <w:shd w:val="clear" w:color="auto" w:fill="FFFFFF"/>
        </w:rPr>
        <w:t>决后重启调查。</w:t>
      </w:r>
    </w:p>
    <w:p w14:paraId="0FB54F8D"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39B987B3"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w:t>
      </w:r>
      <w:r>
        <w:rPr>
          <w:rFonts w:ascii="仿宋" w:eastAsia="仿宋" w:hAnsi="仿宋" w:cs="仿宋" w:hint="eastAsia"/>
          <w:b/>
          <w:bCs/>
          <w:color w:val="333333"/>
          <w:sz w:val="30"/>
          <w:szCs w:val="30"/>
          <w:shd w:val="clear" w:color="auto" w:fill="FFFFFF"/>
        </w:rPr>
        <w:t>第二十四条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调查组应当在查清事实的基础上形成调查报告。调查报告应当包括学术不端行为责任人的确认、调查过程、事实认定及理由、调查结论等。</w:t>
      </w:r>
    </w:p>
    <w:p w14:paraId="1D97AFB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学术不端行为由多人集体做出的，调查报告中应当区别各责任人在行为中所发挥的作用。</w:t>
      </w:r>
    </w:p>
    <w:p w14:paraId="5F3C3F6A"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第二十五条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接触举报材料和参与调查处理的人员，不得向无关人员透露举报人、被举报人个人信息及调查情况。</w:t>
      </w:r>
    </w:p>
    <w:p w14:paraId="2559BA19"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7E451CD5"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t>第四章认定</w:t>
      </w:r>
    </w:p>
    <w:p w14:paraId="3C7009B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第二十六条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高等学校学术委员会应当对调查组提交的调查报告进行审查；必要的，应当听取调查组的汇报。</w:t>
      </w:r>
    </w:p>
    <w:p w14:paraId="3131B8E1"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学术委员会可以召开全体会议或者授权专门委员会对被调查行为是否构成学术不端行为以及行为的性质、情节等</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认定结论，并依职权</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处理或建议学校</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相应处理。</w:t>
      </w:r>
    </w:p>
    <w:p w14:paraId="5B8E4BD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第二十七条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经调查，确认被举报人在科学研究及相关活动中有下列行为之一的，应当认定为构成学术不端行为：</w:t>
      </w:r>
    </w:p>
    <w:p w14:paraId="7CFFF7C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（一）剽窃、抄袭、侵占他人学术成果；</w:t>
      </w:r>
    </w:p>
    <w:p w14:paraId="02D17F7D"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（二）篡改他人研究成果；</w:t>
      </w:r>
    </w:p>
    <w:p w14:paraId="3A148AFE"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（三）伪造科研数据、资料、文献、注释，或者捏造事实、编造虚假研究成果；</w:t>
      </w:r>
    </w:p>
    <w:p w14:paraId="41250F0A"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（四）未参加研究或创作而在研究成果、学术论文上署名，未经他人许可而不当使用他人署名，虚构合作者共同署名，或者多人共同完成研究而在成果中未注明他人工作、贡献；</w:t>
      </w:r>
    </w:p>
    <w:p w14:paraId="45BEB82B"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（五）在申报课题、成果、奖励和职务评审评定、申请学位等过程中提供虚假学术信息；</w:t>
      </w:r>
    </w:p>
    <w:p w14:paraId="40AC12AD"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（六）买卖论文、由他人代写或者为他人代写论文；</w:t>
      </w:r>
    </w:p>
    <w:p w14:paraId="24555483"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（七）其他根据高等学校或者有关学术组织、相关科研管理机构制定的规则，属于学术不端的行为。</w:t>
      </w:r>
    </w:p>
    <w:p w14:paraId="7897DB03"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第二十八条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有学术不端行为且有下列情形之</w:t>
      </w:r>
      <w:r>
        <w:rPr>
          <w:rFonts w:ascii="仿宋" w:eastAsia="仿宋" w:hAnsi="仿宋" w:cs="仿宋" w:hint="eastAsia"/>
          <w:color w:val="333333"/>
          <w:sz w:val="28"/>
          <w:szCs w:val="28"/>
          <w:shd w:val="clear" w:color="auto" w:fill="FFFFFF"/>
        </w:rPr>
        <w:t>一的，应当认定为情节严重：</w:t>
      </w:r>
    </w:p>
    <w:p w14:paraId="74B9EF7B"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（一）造成恶劣影响的；</w:t>
      </w:r>
    </w:p>
    <w:p w14:paraId="1C25496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（二）存在利益输送或者利益交换的；</w:t>
      </w:r>
    </w:p>
    <w:p w14:paraId="5D7CE64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（三）对举报人进行打击报复的；</w:t>
      </w:r>
    </w:p>
    <w:p w14:paraId="1B9B1C0B"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（四）有组织实施学术不端行为的；</w:t>
      </w:r>
    </w:p>
    <w:p w14:paraId="288F9B3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（五）多次实施学术不端行为的；</w:t>
      </w:r>
    </w:p>
    <w:p w14:paraId="2841DF20"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（六）其他造成严重后果或者恶劣影响的。</w:t>
      </w:r>
    </w:p>
    <w:p w14:paraId="0219A22D"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2C6F39C4"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t>第五章处理</w:t>
      </w:r>
    </w:p>
    <w:p w14:paraId="4207EE7F"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第二十九条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高等学校应当根据学术委员会的认定结论和处理建议，结合行为性质和情节轻重，依职权和规定程序对学术不端行为责任人</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如下处理：</w:t>
      </w:r>
    </w:p>
    <w:p w14:paraId="455543E5"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（一）通报批评；</w:t>
      </w:r>
    </w:p>
    <w:p w14:paraId="731A8626"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（二）终止或者撤销相关的科研项目，并在一定期限内取消申请资格；</w:t>
      </w:r>
    </w:p>
    <w:p w14:paraId="5B99577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（三）撤销学术奖励或者荣誉称号；</w:t>
      </w:r>
    </w:p>
    <w:p w14:paraId="24BD4D3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（四）辞退或解聘；</w:t>
      </w:r>
    </w:p>
    <w:p w14:paraId="0D4820C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（五）法律、法规及规章规定的其他处理措施。</w:t>
      </w:r>
    </w:p>
    <w:p w14:paraId="231E5E6B" w14:textId="77777777" w:rsidR="0010196A" w:rsidRDefault="000E5F18">
      <w:pPr>
        <w:pStyle w:val="a3"/>
        <w:widowControl/>
        <w:shd w:val="clear" w:color="auto" w:fill="FFFFFF"/>
        <w:spacing w:beforeAutospacing="0" w:after="60" w:afterAutospacing="0" w:line="50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同时，可以依照有关规定，给予警告、记过、降低岗位等级或者撤职、开除等处分。</w:t>
      </w:r>
    </w:p>
    <w:p w14:paraId="5F18E67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学术不端行为责任人获得有关部门、机构设立的科研项目、学术奖励或者荣誉称号等利益的，学校应当同时向有关主管部门提出处理建议。</w:t>
      </w:r>
    </w:p>
    <w:p w14:paraId="594E5AE4"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学生有学术不端行为的，还应当按照学生管理的相关规定，给予相应的学籍处分。</w:t>
      </w:r>
    </w:p>
    <w:p w14:paraId="2E01B9BE"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学术不端行为与获得学位有直接关联的，由学位授予单位作暂缓授予学位、不授予学位或者依法撤销学位等处理。</w:t>
      </w:r>
    </w:p>
    <w:p w14:paraId="133F6A7E"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高等学校对学术不端行为</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处理决定，应当制作处理决定书，载明以下内容：</w:t>
      </w:r>
    </w:p>
    <w:p w14:paraId="02E52DA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（一）责任人的基本情况；</w:t>
      </w:r>
    </w:p>
    <w:p w14:paraId="2D153D41"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（二）经查证的学术不端行为事实；</w:t>
      </w:r>
    </w:p>
    <w:p w14:paraId="22DBBB70"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（三）处理意见和依据；</w:t>
      </w:r>
    </w:p>
    <w:p w14:paraId="62B2737A"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（四）救济途径和期限；</w:t>
      </w:r>
    </w:p>
    <w:p w14:paraId="73050D9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（五）其他必要内容。</w:t>
      </w:r>
    </w:p>
    <w:p w14:paraId="23E69CB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第三十一条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经调查认定，不构成学术不端行为的，根据被举报人申请，高等学校应当通过一定方式为其消除影响、恢复名誉等。</w:t>
      </w:r>
    </w:p>
    <w:p w14:paraId="6116E9ED"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调查处理过程中，发现举报人存在捏造事实、诬告陷</w:t>
      </w:r>
      <w:r>
        <w:rPr>
          <w:rFonts w:ascii="仿宋" w:eastAsia="仿宋" w:hAnsi="仿宋" w:cs="仿宋" w:hint="eastAsia"/>
          <w:color w:val="333333"/>
          <w:sz w:val="28"/>
          <w:szCs w:val="28"/>
          <w:shd w:val="clear" w:color="auto" w:fill="FFFFFF"/>
        </w:rPr>
        <w:t>害等行为的，应当认定为举报不实或者虚假举报，举报人应当承担相应责任。属于本单位人员的，高等学校应当按照有关规定给</w:t>
      </w:r>
      <w:proofErr w:type="gramStart"/>
      <w:r>
        <w:rPr>
          <w:rFonts w:ascii="仿宋" w:eastAsia="仿宋" w:hAnsi="仿宋" w:cs="仿宋" w:hint="eastAsia"/>
          <w:color w:val="333333"/>
          <w:sz w:val="28"/>
          <w:szCs w:val="28"/>
          <w:shd w:val="clear" w:color="auto" w:fill="FFFFFF"/>
        </w:rPr>
        <w:t>予处理</w:t>
      </w:r>
      <w:proofErr w:type="gramEnd"/>
      <w:r>
        <w:rPr>
          <w:rFonts w:ascii="仿宋" w:eastAsia="仿宋" w:hAnsi="仿宋" w:cs="仿宋" w:hint="eastAsia"/>
          <w:color w:val="333333"/>
          <w:sz w:val="28"/>
          <w:szCs w:val="28"/>
          <w:shd w:val="clear" w:color="auto" w:fill="FFFFFF"/>
        </w:rPr>
        <w:t>；不属于本单位人员的，应通报其所在单位，并提出处理建议。</w:t>
      </w:r>
    </w:p>
    <w:p w14:paraId="471913F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第三十二条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参与举报受理、调查和处理的人员违反保密等规定，造成不良影响的，按照有关规定给予处分或其他处理。</w:t>
      </w:r>
    </w:p>
    <w:p w14:paraId="281F0581"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4922F07E"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5C70E850"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728D3D65"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2F7940F5"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lastRenderedPageBreak/>
        <w:t>第六章复核</w:t>
      </w:r>
    </w:p>
    <w:p w14:paraId="59BDB4D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第三十三条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举报人或者学术不端行为责任人对处理决定不服的，可以在收到处理决定之日起</w:t>
      </w:r>
      <w:r>
        <w:rPr>
          <w:rFonts w:ascii="仿宋" w:eastAsia="仿宋" w:hAnsi="仿宋" w:cs="仿宋" w:hint="eastAsia"/>
          <w:color w:val="333333"/>
          <w:sz w:val="28"/>
          <w:szCs w:val="28"/>
          <w:shd w:val="clear" w:color="auto" w:fill="FFFFFF"/>
        </w:rPr>
        <w:t>30</w:t>
      </w:r>
      <w:r>
        <w:rPr>
          <w:rFonts w:ascii="仿宋" w:eastAsia="仿宋" w:hAnsi="仿宋" w:cs="仿宋" w:hint="eastAsia"/>
          <w:color w:val="333333"/>
          <w:sz w:val="28"/>
          <w:szCs w:val="28"/>
          <w:shd w:val="clear" w:color="auto" w:fill="FFFFFF"/>
        </w:rPr>
        <w:t>日内，以书面形式向高等学校提出异议或者复核申请。</w:t>
      </w:r>
    </w:p>
    <w:p w14:paraId="5DCEB08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异议和复核不影响处理决定的执行。</w:t>
      </w:r>
    </w:p>
    <w:p w14:paraId="5D564B5C"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第三十四条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高等学校收到异议或者复核申请后，应当交由学术委员会组织讨论，并于</w:t>
      </w:r>
      <w:r>
        <w:rPr>
          <w:rFonts w:ascii="仿宋" w:eastAsia="仿宋" w:hAnsi="仿宋" w:cs="仿宋" w:hint="eastAsia"/>
          <w:color w:val="333333"/>
          <w:sz w:val="28"/>
          <w:szCs w:val="28"/>
          <w:shd w:val="clear" w:color="auto" w:fill="FFFFFF"/>
        </w:rPr>
        <w:t>15</w:t>
      </w:r>
      <w:r>
        <w:rPr>
          <w:rFonts w:ascii="仿宋" w:eastAsia="仿宋" w:hAnsi="仿宋" w:cs="仿宋" w:hint="eastAsia"/>
          <w:color w:val="333333"/>
          <w:sz w:val="28"/>
          <w:szCs w:val="28"/>
          <w:shd w:val="clear" w:color="auto" w:fill="FFFFFF"/>
        </w:rPr>
        <w:t>日内</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是否受理的决定。</w:t>
      </w:r>
    </w:p>
    <w:p w14:paraId="5295E3FC"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决定受理的，学校或者学术委员会可以另行组织调查组或者委托第三方机构进行调查；决定不予受理的，应当书面通知当事人。</w:t>
      </w:r>
    </w:p>
    <w:p w14:paraId="5B581309"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第三十五条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当事人对复核决定不服，仍以同一事实和理由提出异议或者申请复核的，不予受理；向有关主管部门提出申诉的，按照相关规定执行。</w:t>
      </w:r>
    </w:p>
    <w:p w14:paraId="5CDF2DF7"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78F33392"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t>第七章监督</w:t>
      </w:r>
    </w:p>
    <w:p w14:paraId="250E55E3"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第三十六条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高等学校应当按年度发布学风建设工作报告，并向社会公开，接受社会监督。</w:t>
      </w:r>
    </w:p>
    <w:p w14:paraId="3201A40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第三十七条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高等学校处理学术不端行为推诿塞责、隐瞒包庇、查处不力的，主管部门可以直接组织或者委托相关机构查处。</w:t>
      </w:r>
    </w:p>
    <w:p w14:paraId="03FE9416"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第三十八条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高等学校对本校发生的学术不端行为，未能及时查处并做出公正结论，造成恶劣影响的，主管部门应当追究相关领导的责任，并进行通报。</w:t>
      </w:r>
    </w:p>
    <w:p w14:paraId="5883C6EA"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高等学校为获得相关利益，有组织实施学术不端行为的，主管部门调查确认后，应当撤销高等学校由此获得的相关权利、项目以及其他利益，并追究学校主要负责人、直接负责人的责任。</w:t>
      </w:r>
    </w:p>
    <w:p w14:paraId="5272DE51"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1BC7A511" w14:textId="77777777" w:rsidR="0010196A" w:rsidRDefault="0010196A">
      <w:pPr>
        <w:pStyle w:val="a3"/>
        <w:widowControl/>
        <w:shd w:val="clear" w:color="auto" w:fill="FFFFFF"/>
        <w:spacing w:beforeAutospacing="0" w:after="60" w:afterAutospacing="0" w:line="500" w:lineRule="exact"/>
        <w:rPr>
          <w:rFonts w:ascii="仿宋" w:eastAsia="仿宋" w:hAnsi="仿宋" w:cs="仿宋"/>
          <w:color w:val="333333"/>
          <w:sz w:val="28"/>
          <w:szCs w:val="28"/>
        </w:rPr>
      </w:pPr>
    </w:p>
    <w:p w14:paraId="55143645" w14:textId="77777777" w:rsidR="0010196A" w:rsidRDefault="000E5F18">
      <w:pPr>
        <w:pStyle w:val="a3"/>
        <w:widowControl/>
        <w:shd w:val="clear" w:color="auto" w:fill="FFFFFF"/>
        <w:spacing w:beforeAutospacing="0" w:after="60" w:afterAutospacing="0" w:line="500" w:lineRule="exact"/>
        <w:jc w:val="center"/>
        <w:rPr>
          <w:rFonts w:ascii="仿宋" w:eastAsia="仿宋" w:hAnsi="仿宋" w:cs="仿宋"/>
          <w:color w:val="333333"/>
          <w:sz w:val="28"/>
          <w:szCs w:val="28"/>
        </w:rPr>
      </w:pPr>
      <w:r>
        <w:rPr>
          <w:rFonts w:ascii="黑体" w:eastAsia="黑体" w:hAnsi="黑体" w:cs="黑体" w:hint="eastAsia"/>
          <w:color w:val="333333"/>
          <w:sz w:val="30"/>
          <w:szCs w:val="30"/>
          <w:shd w:val="clear" w:color="auto" w:fill="FFFFFF"/>
        </w:rPr>
        <w:lastRenderedPageBreak/>
        <w:t>第八章附则</w:t>
      </w:r>
    </w:p>
    <w:p w14:paraId="0372DEA5"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第三十九条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高等学校应当根据本办法，结合学校实际和学科特点，制定本校学术不端行为查处规则及处理办法，明确各类学术不端行为的惩处标准。有关规则应当经学校学术委员会和教职工代表大会讨论通过。</w:t>
      </w:r>
    </w:p>
    <w:p w14:paraId="68D410CB"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第四十条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高等学校主管部门对直接受理的学术不端案件，可自行组织调查组或者指定、委托高等学校、有关机构组织调查、认定。对学术不端行为责任人的处理，根据本办法及国家有关规定执行。</w:t>
      </w:r>
    </w:p>
    <w:p w14:paraId="2A952612"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教育系统所属科研机构及其他单位有关人员学术不端行为的调查与处理，可参照本办法执行。</w:t>
      </w:r>
    </w:p>
    <w:p w14:paraId="36E250B7"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r>
        <w:rPr>
          <w:rFonts w:ascii="仿宋" w:eastAsia="仿宋" w:hAnsi="仿宋" w:cs="仿宋" w:hint="eastAsia"/>
          <w:b/>
          <w:bCs/>
          <w:color w:val="333333"/>
          <w:sz w:val="30"/>
          <w:szCs w:val="30"/>
          <w:shd w:val="clear" w:color="auto" w:fill="FFFFFF"/>
        </w:rPr>
        <w:t>第四十一条</w:t>
      </w:r>
      <w:r>
        <w:rPr>
          <w:rFonts w:ascii="仿宋" w:eastAsia="仿宋" w:hAnsi="仿宋" w:cs="仿宋" w:hint="eastAsia"/>
          <w:color w:val="333333"/>
          <w:sz w:val="28"/>
          <w:szCs w:val="28"/>
          <w:shd w:val="clear" w:color="auto" w:fill="FFFFFF"/>
        </w:rPr>
        <w:t xml:space="preserve"> </w:t>
      </w:r>
      <w:r>
        <w:rPr>
          <w:rFonts w:ascii="仿宋" w:eastAsia="仿宋" w:hAnsi="仿宋" w:cs="仿宋" w:hint="eastAsia"/>
          <w:color w:val="333333"/>
          <w:sz w:val="28"/>
          <w:szCs w:val="28"/>
          <w:shd w:val="clear" w:color="auto" w:fill="FFFFFF"/>
        </w:rPr>
        <w:t>本办法自</w:t>
      </w:r>
      <w:r>
        <w:rPr>
          <w:rFonts w:ascii="仿宋" w:eastAsia="仿宋" w:hAnsi="仿宋" w:cs="仿宋" w:hint="eastAsia"/>
          <w:color w:val="333333"/>
          <w:sz w:val="28"/>
          <w:szCs w:val="28"/>
          <w:shd w:val="clear" w:color="auto" w:fill="FFFFFF"/>
        </w:rPr>
        <w:t>2016</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9</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日起施行。</w:t>
      </w:r>
    </w:p>
    <w:p w14:paraId="233F3D98" w14:textId="77777777" w:rsidR="0010196A" w:rsidRDefault="000E5F18">
      <w:pPr>
        <w:pStyle w:val="a3"/>
        <w:widowControl/>
        <w:shd w:val="clear" w:color="auto" w:fill="FFFFFF"/>
        <w:spacing w:beforeAutospacing="0" w:after="60" w:afterAutospacing="0" w:line="500" w:lineRule="exac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教育部此前发布的有关规章、文件中的相关规定与本办法不一致的，以本办法为准。</w:t>
      </w:r>
    </w:p>
    <w:p w14:paraId="4C2AC423" w14:textId="77777777" w:rsidR="0010196A" w:rsidRDefault="0010196A"/>
    <w:sectPr w:rsidR="0010196A">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2464" w14:textId="77777777" w:rsidR="000E5F18" w:rsidRDefault="000E5F18" w:rsidP="006C4DC0">
      <w:r>
        <w:separator/>
      </w:r>
    </w:p>
  </w:endnote>
  <w:endnote w:type="continuationSeparator" w:id="0">
    <w:p w14:paraId="4A091DFA" w14:textId="77777777" w:rsidR="000E5F18" w:rsidRDefault="000E5F18" w:rsidP="006C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62046" w14:textId="77777777" w:rsidR="000E5F18" w:rsidRDefault="000E5F18" w:rsidP="006C4DC0">
      <w:r>
        <w:separator/>
      </w:r>
    </w:p>
  </w:footnote>
  <w:footnote w:type="continuationSeparator" w:id="0">
    <w:p w14:paraId="2B72D576" w14:textId="77777777" w:rsidR="000E5F18" w:rsidRDefault="000E5F18" w:rsidP="006C4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610EAC"/>
    <w:rsid w:val="000E5F18"/>
    <w:rsid w:val="0010196A"/>
    <w:rsid w:val="006C4DC0"/>
    <w:rsid w:val="3D067FB2"/>
    <w:rsid w:val="41A441D1"/>
    <w:rsid w:val="54E57AA3"/>
    <w:rsid w:val="6761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93C53"/>
  <w15:docId w15:val="{3B03B89A-D002-44DA-BD5C-171C47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customStyle="1" w:styleId="3">
    <w:name w:val="样式3"/>
    <w:basedOn w:val="a"/>
    <w:qFormat/>
  </w:style>
  <w:style w:type="paragraph" w:styleId="a4">
    <w:name w:val="header"/>
    <w:basedOn w:val="a"/>
    <w:link w:val="a5"/>
    <w:rsid w:val="006C4D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C4DC0"/>
    <w:rPr>
      <w:rFonts w:asciiTheme="minorHAnsi" w:eastAsiaTheme="minorEastAsia" w:hAnsiTheme="minorHAnsi" w:cstheme="minorBidi"/>
      <w:kern w:val="2"/>
      <w:sz w:val="18"/>
      <w:szCs w:val="18"/>
    </w:rPr>
  </w:style>
  <w:style w:type="paragraph" w:styleId="a6">
    <w:name w:val="footer"/>
    <w:basedOn w:val="a"/>
    <w:link w:val="a7"/>
    <w:rsid w:val="006C4DC0"/>
    <w:pPr>
      <w:tabs>
        <w:tab w:val="center" w:pos="4153"/>
        <w:tab w:val="right" w:pos="8306"/>
      </w:tabs>
      <w:snapToGrid w:val="0"/>
      <w:jc w:val="left"/>
    </w:pPr>
    <w:rPr>
      <w:sz w:val="18"/>
      <w:szCs w:val="18"/>
    </w:rPr>
  </w:style>
  <w:style w:type="character" w:customStyle="1" w:styleId="a7">
    <w:name w:val="页脚 字符"/>
    <w:basedOn w:val="a0"/>
    <w:link w:val="a6"/>
    <w:rsid w:val="006C4D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娜 卞</cp:lastModifiedBy>
  <cp:revision>2</cp:revision>
  <dcterms:created xsi:type="dcterms:W3CDTF">2020-09-23T03:50:00Z</dcterms:created>
  <dcterms:modified xsi:type="dcterms:W3CDTF">2020-09-23T03:50:00Z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